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
        <w:jc w:val="center"/>
      </w:pPr>
      <w:r>
        <w:rPr>
          <w:b/>
          <w:sz w:val="36"/>
        </w:rPr>
        <w:t>LEONARDO J. RAFFERTY</w:t>
      </w:r>
    </w:p>
    <w:p>
      <w:pPr>
        <w:spacing w:after="10"/>
        <w:jc w:val="center"/>
      </w:pPr>
      <w:r>
        <w:rPr>
          <w:b/>
          <w:sz w:val="21"/>
        </w:rPr>
        <w:t>FINANCE &amp; BUSINESS OPERATIONS EXECUTIVE</w:t>
      </w:r>
    </w:p>
    <w:p>
      <w:pPr>
        <w:spacing w:after="8"/>
        <w:jc w:val="center"/>
      </w:pPr>
      <w:r>
        <w:rPr>
          <w:sz w:val="17"/>
        </w:rPr>
        <w:t>Orlando, FL | (954) 638-1537 | leonardorafferty@gmail.com | linkedin.com/in/leonardo-rafferty</w:t>
      </w:r>
    </w:p>
    <w:p>
      <w:pPr>
        <w:spacing w:after="50"/>
        <w:jc w:val="center"/>
      </w:pPr>
      <w:r>
        <w:rPr>
          <w:b/>
          <w:sz w:val="18"/>
        </w:rPr>
        <w:t>MBA Candidate</w:t>
      </w:r>
    </w:p>
    <w:p>
      <w:pPr>
        <w:spacing w:before="100" w:after="36"/>
        <w:keepNext/>
        <w:pBdr>
          <w:bottom w:val="single" w:sz="5" w:space="1" w:color="7F7F7F"/>
        </w:pBdr>
      </w:pPr>
      <w:r>
        <w:rPr>
          <w:b/>
          <w:sz w:val="20"/>
        </w:rPr>
        <w:t>EXECUTIVE PROFILE</w:t>
      </w:r>
    </w:p>
    <w:p>
      <w:pPr>
        <w:spacing w:after="36"/>
      </w:pPr>
      <w:r>
        <w:t>Finance, accounting, and business operations executive with 20+ years of leadership experience across FP&amp;A, tax and advisory services, healthcare and diagnostic distribution, international business development, analytics, technology, and operational transformation. Proven record translating strategy into disciplined execution, strengthening controls and reporting, improving profitability, negotiating complex commercial agreements, and leading multi-country teams. Experienced partnering with executive stakeholders across finance, operations, sales, technology, and customer-facing functions to improve performance, governance, and scalability.</w:t>
      </w:r>
    </w:p>
    <w:p>
      <w:pPr>
        <w:spacing w:before="100" w:after="36"/>
        <w:keepNext/>
        <w:pBdr>
          <w:bottom w:val="single" w:sz="5" w:space="1" w:color="7F7F7F"/>
        </w:pBdr>
      </w:pPr>
      <w:r>
        <w:rPr>
          <w:b/>
          <w:sz w:val="20"/>
        </w:rPr>
        <w:t>CORE COMPETENCIES</w:t>
      </w:r>
    </w:p>
    <w:p>
      <w:pPr>
        <w:spacing w:after="30"/>
      </w:pPr>
      <w:r>
        <w:t>Strategic Finance • FP&amp;A • Budgeting &amp; Forecasting • Financial Modeling • P&amp;L &amp; Cash Flow Management • Financial Reporting • Internal Controls • Tax &amp; Fractional CFO Advisory • Business Operations • Business Transformation • Healthcare &amp; Diagnostic Distribution • International Business Development • Government &amp; Institutional Contracting • Pricing &amp; Contract Administration • Supplier &amp; Manufacturer Management • KPI &amp; Executive Reporting • Process Optimization • Data Governance • Business Intelligence • Cross-Functional Leadership • Risk &amp; Compliance • Talent Development • Automation</w:t>
      </w:r>
    </w:p>
    <w:p>
      <w:pPr>
        <w:spacing w:before="100" w:after="36"/>
        <w:keepNext/>
        <w:pBdr>
          <w:bottom w:val="single" w:sz="5" w:space="1" w:color="7F7F7F"/>
        </w:pBdr>
      </w:pPr>
      <w:r>
        <w:rPr>
          <w:b/>
          <w:sz w:val="20"/>
        </w:rPr>
        <w:t>SELECTED EXECUTIVE IMPACT</w:t>
      </w:r>
    </w:p>
    <w:p>
      <w:pPr>
        <w:spacing w:after="20" w:line="240" w:lineRule="auto"/>
        <w:ind w:left="259" w:hanging="187"/>
      </w:pPr>
      <w:r>
        <w:rPr>
          <w:sz w:val="18"/>
        </w:rPr>
        <w:t xml:space="preserve">• </w:t>
      </w:r>
      <w:r>
        <w:rPr>
          <w:sz w:val="18"/>
        </w:rPr>
        <w:t>Supported organizations responsible for approximately $575M in annual product revenue and strategic growth initiatives supporting approximately $90M in annual services revenue.</w:t>
      </w:r>
    </w:p>
    <w:p>
      <w:pPr>
        <w:spacing w:after="20" w:line="240" w:lineRule="auto"/>
        <w:ind w:left="259" w:hanging="187"/>
      </w:pPr>
      <w:r>
        <w:rPr>
          <w:sz w:val="18"/>
        </w:rPr>
        <w:t xml:space="preserve">• </w:t>
      </w:r>
      <w:r>
        <w:rPr>
          <w:sz w:val="18"/>
        </w:rPr>
        <w:t>Reduced operating costs by 25%, contributing to more than $300K in annual profitability improvement; improved financial-close efficiency by 30%.</w:t>
      </w:r>
    </w:p>
    <w:p>
      <w:pPr>
        <w:spacing w:after="20" w:line="240" w:lineRule="auto"/>
        <w:ind w:left="259" w:hanging="187"/>
      </w:pPr>
      <w:r>
        <w:rPr>
          <w:sz w:val="18"/>
        </w:rPr>
        <w:t xml:space="preserve">• </w:t>
      </w:r>
      <w:r>
        <w:rPr>
          <w:sz w:val="18"/>
        </w:rPr>
        <w:t>Led teams of up to 56 employees, 15 business development professionals, seven senior international sales leaders, and five project-management staff.</w:t>
      </w:r>
    </w:p>
    <w:p>
      <w:pPr>
        <w:spacing w:after="20" w:line="240" w:lineRule="auto"/>
        <w:ind w:left="259" w:hanging="187"/>
      </w:pPr>
      <w:r>
        <w:rPr>
          <w:sz w:val="18"/>
        </w:rPr>
        <w:t xml:space="preserve">• </w:t>
      </w:r>
      <w:r>
        <w:rPr>
          <w:sz w:val="18"/>
        </w:rPr>
        <w:t>Negotiated and supported multimillion-dollar manufacturer, laboratory, supplier, distribution, and government-facing agreements across pharmaceutical, IVD, molecular-diagnostic, PCR, PPE, and medical-product markets.</w:t>
      </w:r>
    </w:p>
    <w:p>
      <w:pPr>
        <w:spacing w:before="100" w:after="36"/>
        <w:keepNext/>
        <w:pBdr>
          <w:bottom w:val="single" w:sz="5" w:space="1" w:color="7F7F7F"/>
        </w:pBdr>
      </w:pPr>
      <w:r>
        <w:rPr>
          <w:b/>
          <w:sz w:val="20"/>
        </w:rPr>
        <w:t>PROFESSIONAL EXPERIENCE</w:t>
      </w:r>
    </w:p>
    <w:p>
      <w:pPr>
        <w:spacing w:before="64" w:after="16"/>
        <w:keepNext/>
      </w:pPr>
      <w:r>
        <w:rPr>
          <w:b/>
          <w:sz w:val="19"/>
        </w:rPr>
        <w:t>INUSA LLC</w:t>
      </w:r>
      <w:r>
        <w:rPr>
          <w:i/>
          <w:sz w:val="18"/>
        </w:rPr>
        <w:t xml:space="preserve"> | Orlando, FL</w:t>
      </w:r>
      <w:r>
        <w:rPr>
          <w:b/>
          <w:sz w:val="19"/>
        </w:rPr>
        <w:br/>
        <w:t>Principal Consultant | Fractional CFO, Finance &amp; Business Operations</w:t>
      </w:r>
      <w:r>
        <w:rPr>
          <w:i/>
          <w:sz w:val="18"/>
        </w:rPr>
        <w:t xml:space="preserve"> | 2022–Present</w:t>
      </w:r>
    </w:p>
    <w:p>
      <w:pPr>
        <w:spacing w:after="20" w:line="240" w:lineRule="auto"/>
        <w:ind w:left="259" w:hanging="187"/>
      </w:pPr>
      <w:r>
        <w:rPr>
          <w:sz w:val="18"/>
        </w:rPr>
        <w:t xml:space="preserve">• </w:t>
      </w:r>
      <w:r>
        <w:rPr>
          <w:sz w:val="18"/>
        </w:rPr>
        <w:t>Lead tax, accounting, financial advisory, fractional CFO, and business consulting engagements for business owners and organizations, advising on financial strategy, tax planning, reporting, payroll, compliance, cash flow, profitability, and operational performance.</w:t>
      </w:r>
    </w:p>
    <w:p>
      <w:pPr>
        <w:spacing w:after="20" w:line="240" w:lineRule="auto"/>
        <w:ind w:left="259" w:hanging="187"/>
      </w:pPr>
      <w:r>
        <w:rPr>
          <w:sz w:val="18"/>
        </w:rPr>
        <w:t xml:space="preserve">• </w:t>
      </w:r>
      <w:r>
        <w:rPr>
          <w:sz w:val="18"/>
        </w:rPr>
        <w:t>Direct multiple client engagements simultaneously while maintaining executive-level relationships, service quality, delivery accountability, and proactive communication.</w:t>
      </w:r>
    </w:p>
    <w:p>
      <w:pPr>
        <w:spacing w:after="20" w:line="240" w:lineRule="auto"/>
        <w:ind w:left="259" w:hanging="187"/>
      </w:pPr>
      <w:r>
        <w:rPr>
          <w:sz w:val="18"/>
        </w:rPr>
        <w:t xml:space="preserve">• </w:t>
      </w:r>
      <w:r>
        <w:rPr>
          <w:sz w:val="18"/>
        </w:rPr>
        <w:t>Develop budgets, forecasts, financial models, KPI dashboards, and executive reporting to improve visibility, decision-making, and accountability.</w:t>
      </w:r>
    </w:p>
    <w:p>
      <w:pPr>
        <w:spacing w:after="20" w:line="240" w:lineRule="auto"/>
        <w:ind w:left="259" w:hanging="187"/>
      </w:pPr>
      <w:r>
        <w:rPr>
          <w:sz w:val="18"/>
        </w:rPr>
        <w:t xml:space="preserve">• </w:t>
      </w:r>
      <w:r>
        <w:rPr>
          <w:sz w:val="18"/>
        </w:rPr>
        <w:t>Monitor federal, state, and local tax and regulatory developments and translate complex requirements into practical tax, financial, and business strategies.</w:t>
      </w:r>
    </w:p>
    <w:p>
      <w:pPr>
        <w:spacing w:after="20" w:line="240" w:lineRule="auto"/>
        <w:ind w:left="259" w:hanging="187"/>
      </w:pPr>
      <w:r>
        <w:rPr>
          <w:sz w:val="18"/>
        </w:rPr>
        <w:t xml:space="preserve">• </w:t>
      </w:r>
      <w:r>
        <w:rPr>
          <w:sz w:val="18"/>
        </w:rPr>
        <w:t>Lead business development and client acquisition, expand existing relationships, and identify new accounting, payroll, tax, advisory, and consulting opportunities.</w:t>
      </w:r>
    </w:p>
    <w:p>
      <w:pPr>
        <w:spacing w:after="20" w:line="240" w:lineRule="auto"/>
        <w:ind w:left="259" w:hanging="187"/>
      </w:pPr>
      <w:r>
        <w:rPr>
          <w:sz w:val="18"/>
        </w:rPr>
        <w:t xml:space="preserve">• </w:t>
      </w:r>
      <w:r>
        <w:rPr>
          <w:sz w:val="18"/>
        </w:rPr>
        <w:t>Drive automation, business intelligence, process redesign, and stronger internal controls to improve reporting accuracy, close efficiency, scalability, and client outcomes.</w:t>
      </w:r>
    </w:p>
    <w:p>
      <w:pPr>
        <w:spacing w:before="64" w:after="16"/>
        <w:keepNext/>
        <w:pageBreakBefore/>
      </w:pPr>
      <w:r>
        <w:rPr>
          <w:b/>
          <w:sz w:val="19"/>
        </w:rPr>
        <w:t>BlueSun Medical Technologies</w:t>
        <w:br/>
        <w:t>Senior VP, Business Development &amp; International Operations | 2015–2022</w:t>
      </w:r>
      <w:r>
        <w:rPr>
          <w:b/>
          <w:sz w:val="19"/>
        </w:rPr>
      </w:r>
      <w:r>
        <w:rPr>
          <w:i/>
          <w:sz w:val="18"/>
        </w:rPr>
      </w:r>
    </w:p>
    <w:p>
      <w:pPr>
        <w:spacing w:after="20" w:line="240" w:lineRule="auto"/>
        <w:ind w:left="259" w:hanging="187"/>
      </w:pPr>
      <w:r>
        <w:rPr>
          <w:sz w:val="18"/>
        </w:rPr>
        <w:t xml:space="preserve">• </w:t>
      </w:r>
      <w:r>
        <w:rPr>
          <w:sz w:val="18"/>
        </w:rPr>
        <w:t>Led international business development and commercial operations across healthcare, pharmaceutical, diagnostic, IVD, molecular-diagnostic, PPE, and medical-product markets.</w:t>
      </w:r>
    </w:p>
    <w:p>
      <w:pPr>
        <w:spacing w:after="20" w:line="240" w:lineRule="auto"/>
        <w:ind w:left="259" w:hanging="187"/>
      </w:pPr>
      <w:r>
        <w:rPr>
          <w:sz w:val="18"/>
        </w:rPr>
        <w:t xml:space="preserve">• </w:t>
      </w:r>
      <w:r>
        <w:rPr>
          <w:sz w:val="18"/>
        </w:rPr>
        <w:t>Directed seven senior sales leaders across Colombia, Ecuador, Turkey, Australia, and Dubai/UAE, aligning market strategy, customer development, manufacturer relationships, and execution.</w:t>
      </w:r>
    </w:p>
    <w:p>
      <w:pPr>
        <w:spacing w:after="20" w:line="240" w:lineRule="auto"/>
        <w:ind w:left="259" w:hanging="187"/>
      </w:pPr>
      <w:r>
        <w:rPr>
          <w:sz w:val="18"/>
        </w:rPr>
        <w:t xml:space="preserve">• </w:t>
      </w:r>
      <w:r>
        <w:rPr>
          <w:sz w:val="18"/>
        </w:rPr>
        <w:t>Negotiated and secured international manufacturer, laboratory, supplier, and distribution agreements supporting healthcare and diagnostic-product commercialization.</w:t>
      </w:r>
    </w:p>
    <w:p>
      <w:pPr>
        <w:spacing w:after="20" w:line="240" w:lineRule="auto"/>
        <w:ind w:left="259" w:hanging="187"/>
      </w:pPr>
      <w:r>
        <w:rPr>
          <w:sz w:val="18"/>
        </w:rPr>
        <w:t xml:space="preserve">• </w:t>
      </w:r>
      <w:r>
        <w:rPr>
          <w:sz w:val="18"/>
        </w:rPr>
        <w:t>Built strategic relationships with international pharmaceutical, IVD, molecular-diagnostic, laboratory, and medical-product manufacturers and suppliers.</w:t>
      </w:r>
    </w:p>
    <w:p>
      <w:pPr>
        <w:spacing w:after="20" w:line="240" w:lineRule="auto"/>
        <w:ind w:left="259" w:hanging="187"/>
      </w:pPr>
      <w:r>
        <w:rPr>
          <w:sz w:val="18"/>
        </w:rPr>
        <w:t xml:space="preserve">• </w:t>
      </w:r>
      <w:r>
        <w:rPr>
          <w:sz w:val="18"/>
        </w:rPr>
        <w:t>Supported sourcing, pricing negotiations, contract administration, product availability, revenue development, and cross-border execution across multiple regions.</w:t>
      </w:r>
    </w:p>
    <w:p>
      <w:pPr>
        <w:spacing w:after="20" w:line="240" w:lineRule="auto"/>
        <w:ind w:left="259" w:hanging="187"/>
      </w:pPr>
      <w:r>
        <w:rPr>
          <w:sz w:val="18"/>
        </w:rPr>
        <w:t xml:space="preserve">• </w:t>
      </w:r>
      <w:r>
        <w:rPr>
          <w:sz w:val="18"/>
        </w:rPr>
        <w:t>Participated in drafting, negotiating, and executing multimillion-dollar contracts and commercial opportunities involving the Colombian government and other institutional customers.</w:t>
      </w:r>
    </w:p>
    <w:p>
      <w:pPr>
        <w:spacing w:after="20" w:line="240" w:lineRule="auto"/>
        <w:ind w:left="259" w:hanging="187"/>
      </w:pPr>
      <w:r>
        <w:rPr>
          <w:sz w:val="18"/>
        </w:rPr>
        <w:t xml:space="preserve">• </w:t>
      </w:r>
      <w:r>
        <w:rPr>
          <w:sz w:val="18"/>
        </w:rPr>
        <w:t>Managed high-volume diagnostic commercialization opportunities across the U.S. and Canada, including programs with planned volumes reaching up to 10 million tests per month.</w:t>
      </w:r>
    </w:p>
    <w:p>
      <w:pPr>
        <w:spacing w:before="64" w:after="16"/>
        <w:keepNext/>
      </w:pPr>
      <w:r>
        <w:rPr>
          <w:b/>
          <w:sz w:val="19"/>
        </w:rPr>
        <w:t>Apple Inc.</w:t>
      </w:r>
      <w:r>
        <w:rPr>
          <w:b/>
          <w:sz w:val="19"/>
        </w:rPr>
        <w:br/>
        <w:t>Technology Advisor</w:t>
      </w:r>
      <w:r>
        <w:rPr>
          <w:i/>
          <w:sz w:val="18"/>
        </w:rPr>
        <w:t xml:space="preserve"> | 2012–2015</w:t>
      </w:r>
    </w:p>
    <w:p>
      <w:pPr>
        <w:spacing w:after="20" w:line="240" w:lineRule="auto"/>
        <w:ind w:left="259" w:hanging="187"/>
      </w:pPr>
      <w:r>
        <w:rPr>
          <w:sz w:val="18"/>
        </w:rPr>
        <w:t xml:space="preserve">• </w:t>
      </w:r>
      <w:r>
        <w:rPr>
          <w:sz w:val="18"/>
        </w:rPr>
        <w:t>Supported technology adoption, KPI analysis, customer experience, and operational problem-solving in a high-performance environment.</w:t>
      </w:r>
    </w:p>
    <w:p>
      <w:pPr>
        <w:spacing w:after="20" w:line="240" w:lineRule="auto"/>
        <w:ind w:left="259" w:hanging="187"/>
      </w:pPr>
      <w:r>
        <w:rPr>
          <w:sz w:val="18"/>
        </w:rPr>
        <w:t xml:space="preserve">• </w:t>
      </w:r>
      <w:r>
        <w:rPr>
          <w:sz w:val="18"/>
        </w:rPr>
        <w:t>Used performance data to identify trends, improve outcomes, and support data-driven decisions.</w:t>
      </w:r>
    </w:p>
    <w:p>
      <w:pPr>
        <w:spacing w:before="64" w:after="16"/>
        <w:keepNext/>
      </w:pPr>
      <w:r>
        <w:rPr>
          <w:b/>
          <w:sz w:val="19"/>
        </w:rPr>
        <w:t>Best Buy / The Home Depot</w:t>
      </w:r>
      <w:r>
        <w:rPr>
          <w:b/>
          <w:sz w:val="19"/>
        </w:rPr>
        <w:br/>
        <w:t>Leadership &amp; Operations Roles</w:t>
      </w:r>
      <w:r>
        <w:rPr>
          <w:i/>
          <w:sz w:val="18"/>
        </w:rPr>
        <w:t xml:space="preserve"> | 1999–2012</w:t>
      </w:r>
    </w:p>
    <w:p>
      <w:pPr>
        <w:spacing w:after="20" w:line="240" w:lineRule="auto"/>
        <w:ind w:left="259" w:hanging="187"/>
      </w:pPr>
      <w:r>
        <w:rPr>
          <w:sz w:val="18"/>
        </w:rPr>
        <w:t xml:space="preserve">• </w:t>
      </w:r>
      <w:r>
        <w:rPr>
          <w:sz w:val="18"/>
        </w:rPr>
        <w:t>Led high-volume operations and teams of up to 56 employees while supporting organizations responsible for approximately $575M in annual product revenue.</w:t>
      </w:r>
    </w:p>
    <w:p>
      <w:pPr>
        <w:spacing w:after="20" w:line="240" w:lineRule="auto"/>
        <w:ind w:left="259" w:hanging="187"/>
      </w:pPr>
      <w:r>
        <w:rPr>
          <w:sz w:val="18"/>
        </w:rPr>
        <w:t xml:space="preserve">• </w:t>
      </w:r>
      <w:r>
        <w:rPr>
          <w:sz w:val="18"/>
        </w:rPr>
        <w:t>Managed sales, service, productivity, operating performance, customer experience, staffing, and team development in complex multi-site environments.</w:t>
      </w:r>
    </w:p>
    <w:p>
      <w:pPr>
        <w:spacing w:before="64" w:after="16"/>
        <w:keepNext/>
      </w:pPr>
      <w:r>
        <w:rPr>
          <w:b/>
          <w:sz w:val="19"/>
        </w:rPr>
        <w:t>U.S. Army</w:t>
      </w:r>
      <w:r>
        <w:rPr>
          <w:b/>
          <w:sz w:val="19"/>
        </w:rPr>
        <w:br/>
        <w:t>Unit Supply Specialist</w:t>
      </w:r>
    </w:p>
    <w:p>
      <w:pPr>
        <w:spacing w:after="20" w:line="240" w:lineRule="auto"/>
        <w:ind w:left="259" w:hanging="187"/>
      </w:pPr>
      <w:r>
        <w:rPr>
          <w:sz w:val="18"/>
        </w:rPr>
        <w:t xml:space="preserve">• </w:t>
      </w:r>
      <w:r>
        <w:rPr>
          <w:sz w:val="18"/>
        </w:rPr>
        <w:t>Supported accountable supply and logistics operations requiring disciplined controls, documentation, inventory stewardship, accuracy, compliance, and cross-functional coordination.</w:t>
      </w:r>
    </w:p>
    <w:p>
      <w:pPr>
        <w:spacing w:before="100" w:after="36"/>
        <w:keepNext/>
        <w:pBdr>
          <w:bottom w:val="single" w:sz="5" w:space="1" w:color="7F7F7F"/>
        </w:pBdr>
      </w:pPr>
      <w:r>
        <w:rPr>
          <w:b/>
          <w:sz w:val="20"/>
        </w:rPr>
        <w:t>TECHNOLOGY &amp; ANALYTICS</w:t>
      </w:r>
    </w:p>
    <w:p>
      <w:pPr>
        <w:spacing w:after="26"/>
      </w:pPr>
      <w:r>
        <w:t>Power BI • Advanced Excel • SQL • SAP • Oracle • Workday • ADP • QuickBooks • Python • Java • Jira • Confluence • Smartsheet • CCH • Wolters Kluwer</w:t>
      </w:r>
    </w:p>
    <w:p>
      <w:pPr>
        <w:spacing w:before="100" w:after="36"/>
        <w:keepNext/>
        <w:pBdr>
          <w:bottom w:val="single" w:sz="5" w:space="1" w:color="7F7F7F"/>
        </w:pBdr>
      </w:pPr>
      <w:r>
        <w:rPr>
          <w:b/>
          <w:sz w:val="20"/>
        </w:rPr>
        <w:t>EDUCATION &amp; CREDENTIALS</w:t>
      </w:r>
    </w:p>
    <w:p>
      <w:pPr>
        <w:spacing w:after="20" w:line="240" w:lineRule="auto"/>
        <w:ind w:left="259" w:hanging="187"/>
      </w:pPr>
      <w:r>
        <w:rPr>
          <w:sz w:val="18"/>
        </w:rPr>
        <w:t xml:space="preserve">• </w:t>
      </w:r>
      <w:r>
        <w:rPr>
          <w:sz w:val="18"/>
        </w:rPr>
        <w:t>MBA, Business Intelligence &amp; Analytics — DeVry University | Candidate, 45 of 48 credits completed | GPA 3.97</w:t>
      </w:r>
    </w:p>
    <w:p>
      <w:pPr>
        <w:spacing w:after="20" w:line="240" w:lineRule="auto"/>
        <w:ind w:left="259" w:hanging="187"/>
      </w:pPr>
      <w:r>
        <w:rPr>
          <w:sz w:val="18"/>
        </w:rPr>
        <w:t xml:space="preserve">• </w:t>
      </w:r>
      <w:r>
        <w:rPr>
          <w:sz w:val="18"/>
        </w:rPr>
        <w:t>BS, Accounting — DeVry University, Summa Cum Laude</w:t>
      </w:r>
    </w:p>
    <w:p>
      <w:pPr>
        <w:spacing w:after="20" w:line="240" w:lineRule="auto"/>
        <w:ind w:left="259" w:hanging="187"/>
      </w:pPr>
      <w:r>
        <w:rPr>
          <w:sz w:val="18"/>
        </w:rPr>
        <w:t>• QuickBooks ProAdvisor • ADP Certified • PTIN &amp; EFIN • Notary Public</w:t>
      </w:r>
      <w:r>
        <w:rPr>
          <w:sz w:val="18"/>
        </w:rPr>
      </w:r>
    </w:p>
    <w:p>
      <w:pPr>
        <w:spacing w:before="100" w:after="36"/>
        <w:keepNext/>
        <w:pBdr>
          <w:bottom w:val="single" w:sz="5" w:space="1" w:color="7F7F7F"/>
        </w:pBdr>
      </w:pPr>
      <w:r>
        <w:rPr>
          <w:b/>
          <w:sz w:val="20"/>
        </w:rPr>
        <w:t>LANGUAGES</w:t>
      </w:r>
    </w:p>
    <w:p>
      <w:r>
        <w:t>English • Spanish • Portuguese</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5"/>
      </w:rPr>
      <w:t>LEONARDO J. RAFFERTY | FINANCE &amp; BUSINESS OPERATIONS EXECUTIVE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40"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